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ind w:left="289" w:hanging="289"/>
              <w:jc w:val="center"/>
              <w:rPr>
                <w:color w:val="000000"/>
                <w:sz w:val="24"/>
                <w:szCs w:val="24"/>
              </w:rPr>
            </w:pPr>
            <w:r w:rsidDel="00000000" w:rsidR="00000000" w:rsidRPr="00000000">
              <w:rPr>
                <w:rFonts w:ascii="Arial" w:cs="Arial" w:eastAsia="Arial" w:hAnsi="Arial"/>
                <w:color w:val="000000"/>
                <w:sz w:val="24"/>
                <w:szCs w:val="24"/>
                <w:rtl w:val="0"/>
              </w:rPr>
              <w:t xml:space="preserve">TIPO DE INFORME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1893888</wp:posOffset>
                      </wp:positionH>
                      <wp:positionV relativeFrom="paragraph">
                        <wp:posOffset>77788</wp:posOffset>
                      </wp:positionV>
                      <wp:extent cx="294640" cy="283235"/>
                      <wp:effectExtent b="0" l="0" r="0" t="0"/>
                      <wp:wrapNone/>
                      <wp:docPr id="2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1893888</wp:posOffset>
                      </wp:positionH>
                      <wp:positionV relativeFrom="paragraph">
                        <wp:posOffset>77788</wp:posOffset>
                      </wp:positionV>
                      <wp:extent cx="294640" cy="283235"/>
                      <wp:effectExtent b="0" l="0" r="0" t="0"/>
                      <wp:wrapNone/>
                      <wp:docPr id="26"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94640" cy="283235"/>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5222188</wp:posOffset>
                      </wp:positionH>
                      <wp:positionV relativeFrom="paragraph">
                        <wp:posOffset>-4761</wp:posOffset>
                      </wp:positionV>
                      <wp:extent cx="294640" cy="285750"/>
                      <wp:effectExtent b="0" l="0" r="0" t="0"/>
                      <wp:wrapNone/>
                      <wp:docPr id="2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5222188</wp:posOffset>
                      </wp:positionH>
                      <wp:positionV relativeFrom="paragraph">
                        <wp:posOffset>-4761</wp:posOffset>
                      </wp:positionV>
                      <wp:extent cx="294640" cy="285750"/>
                      <wp:effectExtent b="0" l="0" r="0" t="0"/>
                      <wp:wrapNone/>
                      <wp:docPr id="25"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94640" cy="285750"/>
                              </a:xfrm>
                              <a:prstGeom prst="rect"/>
                              <a:ln/>
                            </pic:spPr>
                          </pic:pic>
                        </a:graphicData>
                      </a:graphic>
                    </wp:anchor>
                  </w:drawing>
                </mc:Fallback>
              </mc:AlternateContent>
            </w:r>
          </w:p>
          <w:p w:rsidR="00000000" w:rsidDel="00000000" w:rsidP="00000000" w:rsidRDefault="00000000" w:rsidRPr="00000000" w14:paraId="0000000A">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1</w:t>
            </w:r>
          </w:p>
          <w:p w:rsidR="00000000" w:rsidDel="00000000" w:rsidP="00000000" w:rsidRDefault="00000000" w:rsidRPr="00000000" w14:paraId="0000000C">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F">
            <w:pPr>
              <w:numPr>
                <w:ilvl w:val="0"/>
                <w:numId w:val="2"/>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Contrato No. </w:t>
            </w:r>
            <w:r w:rsidDel="00000000" w:rsidR="00000000" w:rsidRPr="00000000">
              <w:rPr>
                <w:rFonts w:ascii="Arial" w:cs="Arial" w:eastAsia="Arial" w:hAnsi="Arial"/>
                <w:sz w:val="24"/>
                <w:szCs w:val="24"/>
                <w:rtl w:val="0"/>
              </w:rPr>
              <w:t xml:space="preserve">4162.010.26.1.4979 de 2025</w:t>
            </w:r>
          </w:p>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GISELLA ANDREA CASTILLO ATOY</w:t>
            </w:r>
          </w:p>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1.143.990.477</w:t>
            </w:r>
          </w:p>
          <w:p w:rsidR="00000000" w:rsidDel="00000000" w:rsidP="00000000" w:rsidRDefault="00000000" w:rsidRPr="00000000" w14:paraId="0000001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E">
            <w:pPr>
              <w:keepNext w:val="1"/>
              <w:tabs>
                <w:tab w:val="left" w:leader="none" w:pos="4253"/>
                <w:tab w:val="left" w:leader="none" w:pos="4962"/>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KRYSTHIAN DAVID RAMIREZ MUNEVAR</w:t>
            </w:r>
          </w:p>
          <w:p w:rsidR="00000000" w:rsidDel="00000000" w:rsidP="00000000" w:rsidRDefault="00000000" w:rsidRPr="00000000" w14:paraId="0000001F">
            <w:pPr>
              <w:keepNext w:val="1"/>
              <w:tabs>
                <w:tab w:val="left" w:leader="none" w:pos="4253"/>
                <w:tab w:val="left" w:leader="none" w:pos="4962"/>
              </w:tabs>
              <w:jc w:val="both"/>
              <w:rPr>
                <w:rFonts w:ascii="Arial" w:cs="Arial" w:eastAsia="Arial" w:hAnsi="Arial"/>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2">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p w:rsidR="00000000" w:rsidDel="00000000" w:rsidP="00000000" w:rsidRDefault="00000000" w:rsidRPr="00000000" w14:paraId="00000023">
            <w:pPr>
              <w:rPr>
                <w:rFonts w:ascii="Arial" w:cs="Arial" w:eastAsia="Arial" w:hAnsi="Arial"/>
                <w:sz w:val="24"/>
                <w:szCs w:val="24"/>
              </w:rPr>
            </w:pPr>
            <w:r w:rsidDel="00000000" w:rsidR="00000000" w:rsidRPr="00000000">
              <w:rPr>
                <w:rtl w:val="0"/>
              </w:rPr>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 Prestación de servicios profesionales en la Secretaria del Deporte y la Recreacion del proyecto denominado Conservación de la infraestructura deportiva y recreativa del distrito especial de Santiago de Cali BP – 26005399.</w:t>
            </w:r>
          </w:p>
          <w:p w:rsidR="00000000" w:rsidDel="00000000" w:rsidP="00000000" w:rsidRDefault="00000000" w:rsidRPr="00000000" w14:paraId="00000027">
            <w:pPr>
              <w:jc w:val="both"/>
              <w:rPr>
                <w:rFonts w:ascii="Arial" w:cs="Arial" w:eastAsia="Arial" w:hAnsi="Arial"/>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A">
            <w:pPr>
              <w:numPr>
                <w:ilvl w:val="0"/>
                <w:numId w:val="2"/>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19</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NOV</w:t>
            </w:r>
            <w:r w:rsidDel="00000000" w:rsidR="00000000" w:rsidRPr="00000000">
              <w:rPr>
                <w:rFonts w:ascii="Arial" w:cs="Arial" w:eastAsia="Arial" w:hAnsi="Arial"/>
                <w:color w:val="000000"/>
                <w:sz w:val="24"/>
                <w:szCs w:val="24"/>
                <w:rtl w:val="0"/>
              </w:rPr>
              <w:t xml:space="preserve">/2025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32">
            <w:pPr>
              <w:pBdr>
                <w:top w:space="0" w:sz="0" w:val="nil"/>
                <w:left w:space="0" w:sz="0" w:val="nil"/>
                <w:bottom w:space="0" w:sz="0" w:val="nil"/>
                <w:right w:space="0" w:sz="0" w:val="nil"/>
                <w:between w:space="0" w:sz="0" w:val="nil"/>
              </w:pBdr>
              <w:ind w:left="720" w:firstLine="0"/>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31</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DIC</w:t>
            </w:r>
            <w:r w:rsidDel="00000000" w:rsidR="00000000" w:rsidRPr="00000000">
              <w:rPr>
                <w:rFonts w:ascii="Arial" w:cs="Arial" w:eastAsia="Arial" w:hAnsi="Arial"/>
                <w:color w:val="000000"/>
                <w:sz w:val="24"/>
                <w:szCs w:val="24"/>
                <w:rtl w:val="0"/>
              </w:rPr>
              <w:t xml:space="preserve">/2025</w:t>
            </w:r>
          </w:p>
          <w:p w:rsidR="00000000" w:rsidDel="00000000" w:rsidP="00000000" w:rsidRDefault="00000000" w:rsidRPr="00000000" w14:paraId="0000003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38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5">
            <w:pPr>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p w:rsidR="00000000" w:rsidDel="00000000" w:rsidP="00000000" w:rsidRDefault="00000000" w:rsidRPr="00000000" w14:paraId="00000036">
            <w:pPr>
              <w:rPr>
                <w:rFonts w:ascii="Arial" w:cs="Arial" w:eastAsia="Arial" w:hAnsi="Arial"/>
                <w:sz w:val="24"/>
                <w:szCs w:val="24"/>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p w:rsidR="00000000" w:rsidDel="00000000" w:rsidP="00000000" w:rsidRDefault="00000000" w:rsidRPr="00000000" w14:paraId="0000004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p w:rsidR="00000000" w:rsidDel="00000000" w:rsidP="00000000" w:rsidRDefault="00000000" w:rsidRPr="00000000" w14:paraId="0000004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48">
            <w:pPr>
              <w:numPr>
                <w:ilvl w:val="0"/>
                <w:numId w:val="2"/>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inicial del contrato: Es hasta por la suma de </w:t>
            </w:r>
            <w:r w:rsidDel="00000000" w:rsidR="00000000" w:rsidRPr="00000000">
              <w:rPr>
                <w:rFonts w:ascii="Arial" w:cs="Arial" w:eastAsia="Arial" w:hAnsi="Arial"/>
                <w:sz w:val="24"/>
                <w:szCs w:val="24"/>
                <w:rtl w:val="0"/>
              </w:rPr>
              <w:t xml:space="preserve">ONCE MILLONES TRESCIENTOS OCHENTA Y CINCO MIL PESOS</w:t>
            </w:r>
            <w:r w:rsidDel="00000000" w:rsidR="00000000" w:rsidRPr="00000000">
              <w:rPr>
                <w:rFonts w:ascii="Arial" w:cs="Arial" w:eastAsia="Arial" w:hAnsi="Arial"/>
                <w:color w:val="000000"/>
                <w:sz w:val="24"/>
                <w:szCs w:val="24"/>
                <w:rtl w:val="0"/>
              </w:rPr>
              <w:t xml:space="preserve"> M/CTE ($</w:t>
            </w:r>
            <w:r w:rsidDel="00000000" w:rsidR="00000000" w:rsidRPr="00000000">
              <w:rPr>
                <w:rFonts w:ascii="Arial" w:cs="Arial" w:eastAsia="Arial" w:hAnsi="Arial"/>
                <w:sz w:val="24"/>
                <w:szCs w:val="24"/>
                <w:rtl w:val="0"/>
              </w:rPr>
              <w:t xml:space="preserve">11.385.000)</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N/A </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B">
                  <w:pPr>
                    <w:numPr>
                      <w:ilvl w:val="0"/>
                      <w:numId w:val="3"/>
                    </w:numPr>
                    <w:pBdr>
                      <w:top w:space="0" w:sz="0" w:val="nil"/>
                      <w:left w:space="0" w:sz="0" w:val="nil"/>
                      <w:bottom w:space="0" w:sz="0" w:val="nil"/>
                      <w:right w:space="0" w:sz="0" w:val="nil"/>
                      <w:between w:space="0" w:sz="0" w:val="nil"/>
                    </w:pBdr>
                    <w:ind w:left="459"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F">
                  <w:pPr>
                    <w:numPr>
                      <w:ilvl w:val="0"/>
                      <w:numId w:val="3"/>
                    </w:numPr>
                    <w:pBdr>
                      <w:top w:space="0" w:sz="0" w:val="nil"/>
                      <w:left w:space="0" w:sz="0" w:val="nil"/>
                      <w:bottom w:space="0" w:sz="0" w:val="nil"/>
                      <w:right w:space="0" w:sz="0" w:val="nil"/>
                      <w:between w:space="0" w:sz="0" w:val="nil"/>
                    </w:pBdr>
                    <w:ind w:left="459" w:hanging="46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6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6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B">
                  <w:pPr>
                    <w:jc w:val="cente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$11.385.000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$ 3.795.000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 7.590.000</w:t>
                  </w:r>
                  <w:r w:rsidDel="00000000" w:rsidR="00000000" w:rsidRPr="00000000">
                    <w:rPr>
                      <w:rtl w:val="0"/>
                    </w:rPr>
                  </w:r>
                </w:p>
              </w:tc>
            </w:tr>
          </w:tbl>
          <w:p w:rsidR="00000000" w:rsidDel="00000000" w:rsidP="00000000" w:rsidRDefault="00000000" w:rsidRPr="00000000" w14:paraId="0000006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N/A</w:t>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N/A</w:t>
            </w:r>
          </w:p>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N/A</w:t>
            </w:r>
          </w:p>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N/A</w:t>
            </w:r>
          </w:p>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N/A</w:t>
            </w:r>
          </w:p>
        </w:tc>
      </w:tr>
      <w:tr>
        <w:trPr>
          <w:cantSplit w:val="0"/>
          <w:trHeight w:val="39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La contratista adjunta los soportes de afiliación a Eps, Pensión y ARL. </w:t>
            </w:r>
          </w:p>
          <w:p w:rsidR="00000000" w:rsidDel="00000000" w:rsidP="00000000" w:rsidRDefault="00000000" w:rsidRPr="00000000" w14:paraId="00000081">
            <w:pPr>
              <w:jc w:val="both"/>
              <w:rPr>
                <w:rFonts w:ascii="Arial" w:cs="Arial" w:eastAsia="Arial" w:hAnsi="Arial"/>
                <w:sz w:val="24"/>
                <w:szCs w:val="24"/>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4">
            <w:pPr>
              <w:numPr>
                <w:ilvl w:val="0"/>
                <w:numId w:val="2"/>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TÉCNICO</w:t>
            </w:r>
          </w:p>
        </w:tc>
      </w:tr>
      <w:tr>
        <w:trPr>
          <w:cantSplit w:val="0"/>
          <w:trHeight w:val="9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 Durante el desarrollo del contrato de prestación de servicios No. </w:t>
            </w:r>
            <w:r w:rsidDel="00000000" w:rsidR="00000000" w:rsidRPr="00000000">
              <w:rPr>
                <w:rFonts w:ascii="Arial" w:cs="Arial" w:eastAsia="Arial" w:hAnsi="Arial"/>
                <w:sz w:val="24"/>
                <w:szCs w:val="24"/>
                <w:rtl w:val="0"/>
              </w:rPr>
              <w:t xml:space="preserve">4162.010.26.1.4979 de 2025 </w:t>
            </w:r>
            <w:r w:rsidDel="00000000" w:rsidR="00000000" w:rsidRPr="00000000">
              <w:rPr>
                <w:rFonts w:ascii="Arial" w:cs="Arial" w:eastAsia="Arial" w:hAnsi="Arial"/>
                <w:color w:val="000000"/>
                <w:sz w:val="24"/>
                <w:szCs w:val="24"/>
                <w:rtl w:val="0"/>
              </w:rPr>
              <w:t xml:space="preserve">se pudo verificar que el contratista realizó las siguientes actividades en cumplimiento de sus obligaciones y objeto contractual:</w:t>
            </w:r>
          </w:p>
          <w:p w:rsidR="00000000" w:rsidDel="00000000" w:rsidP="00000000" w:rsidRDefault="00000000" w:rsidRPr="00000000" w14:paraId="0000008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sz w:val="24"/>
                <w:szCs w:val="24"/>
                <w:rtl w:val="0"/>
              </w:rPr>
              <w:t xml:space="preserve">1. Realizar informe técnico y consolidado del periodo Enero a septiembre de 2025 correspondiente a la gestión de la Participación Ciudadana en las Comunas y Corregimientos del Distrito de Santiago de Cali, con su correspondiente seguimiento a las solicitudes de la ciudadanía y la incidencia de la Secretaría de Deportes y la Recreación</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numPr>
                <w:ilvl w:val="0"/>
                <w:numId w:val="1"/>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contratista realizó el informe técnico y consolidado correspondiente al periodo comprendido entre enero y septiembre de 2025, dando cumplimiento a la obligación asignada en el marco de la gestión de la Participación Ciudadana en las comunas y corregimientos del Distrito de Santiago de Cali. El documento reúne de manera detallada el balance de las actividades ejecutadas, integrando un análisis integral de las acciones de acompañamiento comunitario, los resultados obtenidos en cada territorio y las dinámicas de interacción con los diferentes actores locales. Asimismo, incluye el seguimiento sistemático a las solicitudes presentadas por la ciudadanía, registrando su estado, avance y las respuestas institucionales, lo que permite evidenciar el nivel de articulación entre las dependencias y el impacto de la gestión realizada. De igual forma, el informe presenta la verificación de la incidencia de la Secretaría del Deporte y la Recreación en los procesos atendidos, destacando su aporte en la orientación, apoyo y fortalecimiento de las iniciativas comunitarias. En conjunto, este consolidado ofrece una visión amplia y argumentada sobre la labor desarrollada durante el periodo, reflejando el cumplimiento de los objetivos propuestos y aportando insumos relevantes para la toma de decisiones y la mejora continua de los procesos de participación en el municipio.</w:t>
            </w:r>
          </w:p>
          <w:p w:rsidR="00000000" w:rsidDel="00000000" w:rsidP="00000000" w:rsidRDefault="00000000" w:rsidRPr="00000000" w14:paraId="0000008C">
            <w:pPr>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 LAS EVIDENCIAS DE LO RELACIONADO SE ENCUENTRAN EN EL SIGUIENTE LINK: </w:t>
            </w:r>
          </w:p>
          <w:p w:rsidR="00000000" w:rsidDel="00000000" w:rsidP="00000000" w:rsidRDefault="00000000" w:rsidRPr="00000000" w14:paraId="0000008F">
            <w:pPr>
              <w:jc w:val="both"/>
              <w:rPr>
                <w:rFonts w:ascii="Arial" w:cs="Arial" w:eastAsia="Arial" w:hAnsi="Arial"/>
                <w:sz w:val="24"/>
                <w:szCs w:val="24"/>
              </w:rPr>
            </w:pPr>
            <w:hyperlink r:id="rId8">
              <w:r w:rsidDel="00000000" w:rsidR="00000000" w:rsidRPr="00000000">
                <w:rPr>
                  <w:rFonts w:ascii="Arial" w:cs="Arial" w:eastAsia="Arial" w:hAnsi="Arial"/>
                  <w:color w:val="0000ff"/>
                  <w:sz w:val="24"/>
                  <w:szCs w:val="24"/>
                  <w:u w:val="single"/>
                  <w:rtl w:val="0"/>
                </w:rPr>
                <w:t xml:space="preserve">https://drive.google.com/drive/folders/1XpBJcdDgfM_1mBRbslpDbLjYKwE6zJa4</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tc>
      </w:tr>
      <w:tr>
        <w:trPr>
          <w:cantSplit w:val="1"/>
          <w:trHeight w:val="41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ind w:right="184"/>
              <w:jc w:val="both"/>
              <w:rPr>
                <w:rFonts w:ascii="Arial" w:cs="Arial" w:eastAsia="Arial" w:hAnsi="Arial"/>
                <w:sz w:val="24"/>
                <w:szCs w:val="24"/>
              </w:rPr>
            </w:pPr>
            <w:bookmarkStart w:colFirst="0" w:colLast="0" w:name="_heading=h.ipxzny9jlzw0" w:id="0"/>
            <w:bookmarkEnd w:id="0"/>
            <w:r w:rsidDel="00000000" w:rsidR="00000000" w:rsidRPr="00000000">
              <w:rPr>
                <w:rFonts w:ascii="Arial" w:cs="Arial" w:eastAsia="Arial" w:hAnsi="Arial"/>
                <w:color w:val="000000"/>
                <w:sz w:val="24"/>
                <w:szCs w:val="24"/>
                <w:rtl w:val="0"/>
              </w:rPr>
              <w:t xml:space="preserve">Recibo a Satisfacción de Servicios: N/A</w:t>
            </w:r>
            <w:r w:rsidDel="00000000" w:rsidR="00000000" w:rsidRPr="00000000">
              <w:rPr>
                <w:rtl w:val="0"/>
              </w:rPr>
            </w:r>
          </w:p>
        </w:tc>
      </w:tr>
      <w:tr>
        <w:trPr>
          <w:cantSplit w:val="1"/>
          <w:trHeight w:val="55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before="13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N/A</w:t>
            </w:r>
          </w:p>
        </w:tc>
      </w:tr>
      <w:tr>
        <w:trPr>
          <w:cantSplit w:val="1"/>
          <w:trHeight w:val="41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9">
            <w:pPr>
              <w:pBdr>
                <w:top w:space="0" w:sz="0" w:val="nil"/>
                <w:left w:space="0" w:sz="0" w:val="nil"/>
                <w:bottom w:space="0" w:sz="0" w:val="nil"/>
                <w:right w:space="0" w:sz="0" w:val="nil"/>
                <w:between w:space="0" w:sz="0" w:val="nil"/>
              </w:pBdr>
              <w:jc w:val="both"/>
              <w:rPr>
                <w:rFonts w:ascii="Arial" w:cs="Arial" w:eastAsia="Arial" w:hAnsi="Arial"/>
                <w:sz w:val="24"/>
                <w:szCs w:val="24"/>
              </w:rPr>
            </w:pPr>
            <w:bookmarkStart w:colFirst="0" w:colLast="0" w:name="_heading=h.h07bugy5bkby" w:id="1"/>
            <w:bookmarkEnd w:id="1"/>
            <w:r w:rsidDel="00000000" w:rsidR="00000000" w:rsidRPr="00000000">
              <w:rPr>
                <w:rFonts w:ascii="Arial" w:cs="Arial" w:eastAsia="Arial" w:hAnsi="Arial"/>
                <w:color w:val="000000"/>
                <w:sz w:val="24"/>
                <w:szCs w:val="24"/>
                <w:rtl w:val="0"/>
              </w:rPr>
              <w:t xml:space="preserve">Observaciones al informe técnico:</w:t>
            </w:r>
            <w:r w:rsidDel="00000000" w:rsidR="00000000" w:rsidRPr="00000000">
              <w:rPr>
                <w:rFonts w:ascii="Arial" w:cs="Arial" w:eastAsia="Arial" w:hAnsi="Arial"/>
                <w:sz w:val="24"/>
                <w:szCs w:val="24"/>
                <w:rtl w:val="0"/>
              </w:rPr>
              <w:t xml:space="preserve"> N/A</w:t>
            </w:r>
          </w:p>
          <w:p w:rsidR="00000000" w:rsidDel="00000000" w:rsidP="00000000" w:rsidRDefault="00000000" w:rsidRPr="00000000" w14:paraId="0000009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9D">
            <w:pPr>
              <w:numPr>
                <w:ilvl w:val="0"/>
                <w:numId w:val="2"/>
              </w:numPr>
              <w:pBdr>
                <w:top w:space="0" w:sz="0" w:val="nil"/>
                <w:left w:space="0" w:sz="0" w:val="nil"/>
                <w:bottom w:space="0" w:sz="0" w:val="nil"/>
                <w:right w:space="0" w:sz="0" w:val="nil"/>
                <w:between w:space="0" w:sz="0" w:val="nil"/>
              </w:pBdr>
              <w:ind w:left="108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tc>
      </w:tr>
      <w:tr>
        <w:trPr>
          <w:cantSplit w:val="1"/>
          <w:trHeight w:val="35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No se reportan recomendaciones para este periodo.</w:t>
            </w: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bookmarkStart w:colFirst="0" w:colLast="0" w:name="_heading=h.lrz4xzdtpllj" w:id="2"/>
            <w:bookmarkEnd w:id="2"/>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5">
            <w:pPr>
              <w:numPr>
                <w:ilvl w:val="0"/>
                <w:numId w:val="2"/>
              </w:numPr>
              <w:pBdr>
                <w:top w:space="0" w:sz="0" w:val="nil"/>
                <w:left w:space="0" w:sz="0" w:val="nil"/>
                <w:bottom w:space="0" w:sz="0" w:val="nil"/>
                <w:right w:space="0" w:sz="0" w:val="nil"/>
                <w:between w:space="0" w:sz="0" w:val="nil"/>
              </w:pBdr>
              <w:ind w:left="108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w:t>
            </w:r>
          </w:p>
          <w:p w:rsidR="00000000" w:rsidDel="00000000" w:rsidP="00000000" w:rsidRDefault="00000000" w:rsidRPr="00000000" w14:paraId="000000A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KRYSTHIAN DAVID RAMIREZ MUNEVAR </w:t>
            </w:r>
          </w:p>
          <w:p w:rsidR="00000000" w:rsidDel="00000000" w:rsidP="00000000" w:rsidRDefault="00000000" w:rsidRPr="00000000" w14:paraId="000000AD">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Supervisor </w:t>
            </w:r>
          </w:p>
          <w:p w:rsidR="00000000" w:rsidDel="00000000" w:rsidP="00000000" w:rsidRDefault="00000000" w:rsidRPr="00000000" w14:paraId="000000A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r>
          </w:p>
        </w:tc>
      </w:tr>
      <w:tr>
        <w:trPr>
          <w:cantSplit w:val="1"/>
          <w:trHeight w:val="32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Distrito de Santiago De Cali, </w:t>
            </w:r>
            <w:r w:rsidDel="00000000" w:rsidR="00000000" w:rsidRPr="00000000">
              <w:rPr>
                <w:rFonts w:ascii="Arial" w:cs="Arial" w:eastAsia="Arial" w:hAnsi="Arial"/>
                <w:sz w:val="24"/>
                <w:szCs w:val="24"/>
                <w:rtl w:val="0"/>
              </w:rPr>
              <w:t xml:space="preserve">24</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Nov</w:t>
            </w:r>
            <w:r w:rsidDel="00000000" w:rsidR="00000000" w:rsidRPr="00000000">
              <w:rPr>
                <w:rFonts w:ascii="Arial" w:cs="Arial" w:eastAsia="Arial" w:hAnsi="Arial"/>
                <w:color w:val="000000"/>
                <w:sz w:val="24"/>
                <w:szCs w:val="24"/>
                <w:rtl w:val="0"/>
              </w:rPr>
              <w:t xml:space="preserve">/2025.</w:t>
            </w:r>
          </w:p>
        </w:tc>
      </w:tr>
    </w:tbl>
    <w:p w:rsidR="00000000" w:rsidDel="00000000" w:rsidP="00000000" w:rsidRDefault="00000000" w:rsidRPr="00000000" w14:paraId="000000B4">
      <w:pPr>
        <w:rPr>
          <w:rFonts w:ascii="Arial" w:cs="Arial" w:eastAsia="Arial" w:hAnsi="Arial"/>
          <w:sz w:val="24"/>
          <w:szCs w:val="24"/>
        </w:rPr>
      </w:pPr>
      <w:bookmarkStart w:colFirst="0" w:colLast="0" w:name="_heading=h.gdsbkv8lzy6y" w:id="3"/>
      <w:bookmarkEnd w:id="3"/>
      <w:r w:rsidDel="00000000" w:rsidR="00000000" w:rsidRPr="00000000">
        <w:rPr>
          <w:rtl w:val="0"/>
        </w:rPr>
      </w:r>
    </w:p>
    <w:sectPr>
      <w:headerReference r:id="rId9" w:type="default"/>
      <w:footerReference r:id="rId10"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28.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27"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
    <w:lvl w:ilvl="0">
      <w:start w:val="1"/>
      <w:numFmt w:val="bullet"/>
      <w:lvlText w:val="●"/>
      <w:lvlJc w:val="left"/>
      <w:pPr>
        <w:ind w:left="2062"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100.0" w:type="dxa"/>
        <w:left w:w="100.0" w:type="dxa"/>
        <w:bottom w:w="100.0" w:type="dxa"/>
        <w:right w:w="100.0" w:type="dxa"/>
      </w:tblCellMar>
    </w:tblPr>
  </w:style>
  <w:style w:type="table" w:styleId="TableNormal3" w:customStyle="1">
    <w:name w:val="TableNormal"/>
    <w:tblPr>
      <w:tblCellMar>
        <w:top w:w="0.0" w:type="dxa"/>
        <w:left w:w="0.0" w:type="dxa"/>
        <w:bottom w:w="0.0" w:type="dxa"/>
        <w:right w:w="0.0" w:type="dxa"/>
      </w:tblCellMar>
    </w:tblPr>
  </w:style>
  <w:style w:type="table" w:styleId="TableNormal4" w:customStyle="1">
    <w:name w:val="TableNormal"/>
    <w:tblPr>
      <w:tblCellMar>
        <w:top w:w="0.0" w:type="dxa"/>
        <w:left w:w="0.0" w:type="dxa"/>
        <w:bottom w:w="0.0" w:type="dxa"/>
        <w:right w:w="0.0" w:type="dxa"/>
      </w:tblCellMar>
    </w:tblPr>
  </w:style>
  <w:style w:type="table" w:styleId="TableNormal5" w:customStyle="1">
    <w:name w:val="Table Normal"/>
    <w:tblPr>
      <w:tblCellMar>
        <w:top w:w="0.0" w:type="dxa"/>
        <w:left w:w="0.0" w:type="dxa"/>
        <w:bottom w:w="0.0" w:type="dxa"/>
        <w:right w:w="0.0" w:type="dxa"/>
      </w:tblCellMar>
    </w:tblPr>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uiPriority w:val="34"/>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character" w:styleId="Mencinsinresolver1" w:customStyle="1">
    <w:name w:val="Mención sin resolver1"/>
    <w:basedOn w:val="Fuentedeprrafopredeter"/>
    <w:uiPriority w:val="99"/>
    <w:semiHidden w:val="1"/>
    <w:unhideWhenUsed w:val="1"/>
    <w:rsid w:val="006C7A93"/>
    <w:rPr>
      <w:color w:val="605e5c"/>
      <w:shd w:color="auto" w:fill="e1dfdd" w:val="clear"/>
    </w:rPr>
  </w:style>
  <w:style w:type="table" w:styleId="a" w:customStyle="1">
    <w:basedOn w:val="TableNormal5"/>
    <w:tblPr>
      <w:tblStyleRowBandSize w:val="1"/>
      <w:tblStyleColBandSize w:val="1"/>
    </w:tblPr>
  </w:style>
  <w:style w:type="table" w:styleId="a0" w:customStyle="1">
    <w:basedOn w:val="TableNormal5"/>
    <w:tblPr>
      <w:tblStyleRowBandSize w:val="1"/>
      <w:tblStyleColBandSize w:val="1"/>
    </w:tblPr>
  </w:style>
  <w:style w:type="table" w:styleId="a1" w:customStyle="1">
    <w:basedOn w:val="TableNormal5"/>
    <w:tblPr>
      <w:tblStyleRowBandSize w:val="1"/>
      <w:tblStyleColBandSize w:val="1"/>
    </w:tblPr>
  </w:style>
  <w:style w:type="table" w:styleId="a2" w:customStyle="1">
    <w:basedOn w:val="TableNormal5"/>
    <w:tblPr>
      <w:tblStyleRowBandSize w:val="1"/>
      <w:tblStyleColBandSize w:val="1"/>
    </w:tblPr>
  </w:style>
  <w:style w:type="paragraph" w:styleId="NormalWeb">
    <w:name w:val="Normal (Web)"/>
    <w:basedOn w:val="Normal"/>
    <w:uiPriority w:val="99"/>
    <w:unhideWhenUsed w:val="1"/>
    <w:qFormat w:val="1"/>
    <w:rsid w:val="009425EB"/>
    <w:rPr>
      <w:sz w:val="24"/>
      <w:szCs w:val="24"/>
    </w:rPr>
  </w:style>
  <w:style w:type="character" w:styleId="UnresolvedMention" w:customStyle="1">
    <w:name w:val="Unresolved Mention"/>
    <w:basedOn w:val="Fuentedeprrafopredeter"/>
    <w:uiPriority w:val="99"/>
    <w:semiHidden w:val="1"/>
    <w:unhideWhenUsed w:val="1"/>
    <w:rsid w:val="00B410DE"/>
    <w:rPr>
      <w:color w:val="605e5c"/>
      <w:shd w:color="auto" w:fill="e1dfdd" w:val="clear"/>
    </w:rPr>
  </w:style>
  <w:style w:type="table" w:styleId="a3" w:customStyle="1">
    <w:basedOn w:val="TableNormal5"/>
    <w:tblPr>
      <w:tblStyleRowBandSize w:val="1"/>
      <w:tblStyleColBandSize w:val="1"/>
    </w:tblPr>
  </w:style>
  <w:style w:type="table" w:styleId="a4" w:customStyle="1">
    <w:basedOn w:val="TableNormal5"/>
    <w:tblPr>
      <w:tblStyleRowBandSize w:val="1"/>
      <w:tblStyleColBandSize w:val="1"/>
    </w:tblPr>
  </w:style>
  <w:style w:type="table" w:styleId="a5" w:customStyle="1">
    <w:basedOn w:val="TableNormal5"/>
    <w:tblPr>
      <w:tblStyleRowBandSize w:val="1"/>
      <w:tblStyleColBandSize w:val="1"/>
    </w:tblPr>
  </w:style>
  <w:style w:type="table" w:styleId="a6" w:customStyle="1">
    <w:basedOn w:val="TableNormal5"/>
    <w:tblPr>
      <w:tblStyleRowBandSize w:val="1"/>
      <w:tblStyleColBandSize w:val="1"/>
    </w:tblPr>
  </w:style>
  <w:style w:type="table" w:styleId="a7" w:customStyle="1">
    <w:basedOn w:val="TableNormal4"/>
    <w:tblPr>
      <w:tblStyleRowBandSize w:val="1"/>
      <w:tblStyleColBandSize w:val="1"/>
    </w:tblPr>
  </w:style>
  <w:style w:type="table" w:styleId="a8" w:customStyle="1">
    <w:basedOn w:val="TableNormal4"/>
    <w:tblPr>
      <w:tblStyleRowBandSize w:val="1"/>
      <w:tblStyleColBandSize w:val="1"/>
    </w:tblPr>
  </w:style>
  <w:style w:type="table" w:styleId="a9" w:customStyle="1">
    <w:basedOn w:val="TableNormal4"/>
    <w:tblPr>
      <w:tblStyleRowBandSize w:val="1"/>
      <w:tblStyleColBandSize w:val="1"/>
    </w:tblPr>
  </w:style>
  <w:style w:type="table" w:styleId="aa" w:customStyle="1">
    <w:basedOn w:val="TableNormal4"/>
    <w:tblPr>
      <w:tblStyleRowBandSize w:val="1"/>
      <w:tblStyleColBandSize w:val="1"/>
    </w:tblPr>
  </w:style>
  <w:style w:type="table" w:styleId="ab" w:customStyle="1">
    <w:basedOn w:val="TableNormal3"/>
    <w:tblPr>
      <w:tblStyleRowBandSize w:val="1"/>
      <w:tblStyleColBandSize w:val="1"/>
    </w:tblPr>
  </w:style>
  <w:style w:type="table" w:styleId="ac" w:customStyle="1">
    <w:basedOn w:val="TableNormal3"/>
    <w:tblPr>
      <w:tblStyleRowBandSize w:val="1"/>
      <w:tblStyleColBandSize w:val="1"/>
    </w:tblPr>
  </w:style>
  <w:style w:type="table" w:styleId="ad" w:customStyle="1">
    <w:basedOn w:val="TableNormal3"/>
    <w:tblPr>
      <w:tblStyleRowBandSize w:val="1"/>
      <w:tblStyleColBandSize w:val="1"/>
    </w:tblPr>
  </w:style>
  <w:style w:type="table" w:styleId="ae" w:customStyle="1">
    <w:basedOn w:val="TableNormal3"/>
    <w:tblPr>
      <w:tblStyleRowBandSize w:val="1"/>
      <w:tblStyleColBandSize w:val="1"/>
    </w:tblPr>
  </w:style>
  <w:style w:type="table" w:styleId="af" w:customStyle="1">
    <w:basedOn w:val="TableNormal2"/>
    <w:tblPr>
      <w:tblStyleRowBandSize w:val="1"/>
      <w:tblStyleColBandSize w:val="1"/>
      <w:tblCellMar>
        <w:top w:w="0.0" w:type="dxa"/>
        <w:left w:w="0.0" w:type="dxa"/>
        <w:bottom w:w="0.0" w:type="dxa"/>
        <w:right w:w="0.0" w:type="dxa"/>
      </w:tblCellMar>
    </w:tblPr>
  </w:style>
  <w:style w:type="table" w:styleId="af0" w:customStyle="1">
    <w:basedOn w:val="TableNormal2"/>
    <w:tblPr>
      <w:tblStyleRowBandSize w:val="1"/>
      <w:tblStyleColBandSize w:val="1"/>
      <w:tblCellMar>
        <w:top w:w="0.0" w:type="dxa"/>
        <w:left w:w="0.0" w:type="dxa"/>
        <w:bottom w:w="0.0" w:type="dxa"/>
        <w:right w:w="0.0" w:type="dxa"/>
      </w:tblCellMar>
    </w:tblPr>
  </w:style>
  <w:style w:type="table" w:styleId="af1" w:customStyle="1">
    <w:basedOn w:val="TableNormal2"/>
    <w:tblPr>
      <w:tblStyleRowBandSize w:val="1"/>
      <w:tblStyleColBandSize w:val="1"/>
      <w:tblCellMar>
        <w:top w:w="0.0" w:type="dxa"/>
        <w:left w:w="0.0" w:type="dxa"/>
        <w:bottom w:w="0.0" w:type="dxa"/>
        <w:right w:w="0.0" w:type="dxa"/>
      </w:tblCellMar>
    </w:tblPr>
  </w:style>
  <w:style w:type="table" w:styleId="af2" w:customStyle="1">
    <w:basedOn w:val="TableNormal2"/>
    <w:tblPr>
      <w:tblStyleRowBandSize w:val="1"/>
      <w:tblStyleColBandSize w:val="1"/>
      <w:tblCellMar>
        <w:top w:w="0.0" w:type="dxa"/>
        <w:left w:w="0.0" w:type="dxa"/>
        <w:bottom w:w="0.0" w:type="dxa"/>
        <w:right w:w="0.0" w:type="dxa"/>
      </w:tblCellMar>
    </w:tblPr>
  </w:style>
  <w:style w:type="table" w:styleId="af3" w:customStyle="1">
    <w:basedOn w:val="TableNormal1"/>
    <w:tblPr>
      <w:tblStyleRowBandSize w:val="1"/>
      <w:tblStyleColBandSize w:val="1"/>
      <w:tblCellMar>
        <w:top w:w="0.0" w:type="dxa"/>
        <w:left w:w="0.0" w:type="dxa"/>
        <w:bottom w:w="0.0" w:type="dxa"/>
        <w:right w:w="0.0" w:type="dxa"/>
      </w:tblCellMar>
    </w:tblPr>
  </w:style>
  <w:style w:type="table" w:styleId="af4" w:customStyle="1">
    <w:basedOn w:val="TableNormal1"/>
    <w:tblPr>
      <w:tblStyleRowBandSize w:val="1"/>
      <w:tblStyleColBandSize w:val="1"/>
      <w:tblCellMar>
        <w:top w:w="0.0" w:type="dxa"/>
        <w:left w:w="0.0" w:type="dxa"/>
        <w:bottom w:w="0.0" w:type="dxa"/>
        <w:right w:w="0.0" w:type="dxa"/>
      </w:tblCellMar>
    </w:tblPr>
  </w:style>
  <w:style w:type="table" w:styleId="af5" w:customStyle="1">
    <w:basedOn w:val="TableNormal1"/>
    <w:tblPr>
      <w:tblStyleRowBandSize w:val="1"/>
      <w:tblStyleColBandSize w:val="1"/>
      <w:tblCellMar>
        <w:top w:w="0.0" w:type="dxa"/>
        <w:left w:w="0.0" w:type="dxa"/>
        <w:bottom w:w="0.0" w:type="dxa"/>
        <w:right w:w="0.0" w:type="dxa"/>
      </w:tblCellMar>
    </w:tblPr>
  </w:style>
  <w:style w:type="table" w:styleId="af6" w:customStyle="1">
    <w:basedOn w:val="TableNormal1"/>
    <w:tblPr>
      <w:tblStyleRowBandSize w:val="1"/>
      <w:tblStyleColBandSize w:val="1"/>
      <w:tblCellMar>
        <w:top w:w="0.0" w:type="dxa"/>
        <w:left w:w="0.0" w:type="dxa"/>
        <w:bottom w:w="0.0" w:type="dxa"/>
        <w:right w:w="0.0" w:type="dxa"/>
      </w:tblCellMar>
    </w:tblPr>
  </w:style>
  <w:style w:type="table" w:styleId="af7" w:customStyle="1">
    <w:basedOn w:val="TableNormal0"/>
    <w:tblPr>
      <w:tblStyleRowBandSize w:val="1"/>
      <w:tblStyleColBandSize w:val="1"/>
      <w:tblCellMar>
        <w:top w:w="0.0" w:type="dxa"/>
        <w:left w:w="0.0" w:type="dxa"/>
        <w:bottom w:w="0.0" w:type="dxa"/>
        <w:right w:w="0.0" w:type="dxa"/>
      </w:tblCellMar>
    </w:tblPr>
  </w:style>
  <w:style w:type="table" w:styleId="af8" w:customStyle="1">
    <w:basedOn w:val="TableNormal0"/>
    <w:tblPr>
      <w:tblStyleRowBandSize w:val="1"/>
      <w:tblStyleColBandSize w:val="1"/>
      <w:tblCellMar>
        <w:top w:w="0.0" w:type="dxa"/>
        <w:left w:w="0.0" w:type="dxa"/>
        <w:bottom w:w="0.0" w:type="dxa"/>
        <w:right w:w="0.0" w:type="dxa"/>
      </w:tblCellMar>
    </w:tblPr>
  </w:style>
  <w:style w:type="table" w:styleId="af9" w:customStyle="1">
    <w:basedOn w:val="TableNormal0"/>
    <w:tblPr>
      <w:tblStyleRowBandSize w:val="1"/>
      <w:tblStyleColBandSize w:val="1"/>
      <w:tblCellMar>
        <w:top w:w="0.0" w:type="dxa"/>
        <w:left w:w="0.0" w:type="dxa"/>
        <w:bottom w:w="0.0" w:type="dxa"/>
        <w:right w:w="0.0" w:type="dxa"/>
      </w:tblCellMar>
    </w:tblPr>
  </w:style>
  <w:style w:type="table" w:styleId="afa" w:customStyle="1">
    <w:basedOn w:val="TableNormal0"/>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drive.google.com/drive/folders/1XpBJcdDgfM_1mBRbslpDbLjYKwE6zJa4"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xksdtPpgscEYrMFwcqJlUwKtrg==">CgMxLjAyDmguaXB4em55OWpsencwMg5oLmgwN2J1Z3k1YmtieTIOaC5scno0eHpkdHBsbGoyDmguZ2RzYmt2OGx6eTZ5OAByITFZeTVhdXpjX0llYVAycnJXYi0weVp4YmdOUjdPUWc5SA==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2025-09-30T21:54:00Z</dcterms:created>
  <dc:creator>LEYDHER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8a905939-0a5e-4009-9b8b-9285e5826ad1</vt:lpwstr>
  </property>
</Properties>
</file>